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p>
    <w:p w:rsidR="00A3732C" w:rsidRDefault="00A3732C">
      <w:pPr>
        <w:widowControl w:val="0"/>
        <w:pBdr>
          <w:top w:val="nil"/>
          <w:left w:val="nil"/>
          <w:bottom w:val="nil"/>
          <w:right w:val="nil"/>
          <w:between w:val="nil"/>
        </w:pBdr>
        <w:spacing w:after="0"/>
      </w:pPr>
      <w:bookmarkStart w:id="0" w:name="_heading=h.2s8eyo1" w:colFirst="0" w:colLast="0"/>
      <w:bookmarkEnd w:id="0"/>
    </w:p>
    <w:p w:rsidR="00A3732C" w:rsidRDefault="00E0325C">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0"/>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means the percentage figure identified as such in the Order Form;</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A3732C">
        <w:tc>
          <w:tcPr>
            <w:tcW w:w="2410" w:type="dxa"/>
            <w:shd w:val="clear" w:color="auto" w:fill="auto"/>
          </w:tcPr>
          <w:p w:rsidR="00A3732C" w:rsidRDefault="00E0325C">
            <w:pPr>
              <w:spacing w:after="280"/>
              <w:rPr>
                <w:rFonts w:ascii="Arial" w:eastAsia="Arial" w:hAnsi="Arial" w:cs="Arial"/>
                <w:b/>
                <w:color w:val="000000"/>
                <w:sz w:val="24"/>
                <w:szCs w:val="24"/>
              </w:rPr>
            </w:pPr>
            <w:r>
              <w:rPr>
                <w:rFonts w:ascii="Arial" w:eastAsia="Arial" w:hAnsi="Arial" w:cs="Arial"/>
                <w:b/>
                <w:color w:val="000000"/>
                <w:sz w:val="24"/>
                <w:szCs w:val="24"/>
              </w:rPr>
              <w:t>“KPI Category”</w:t>
            </w:r>
          </w:p>
          <w:p w:rsidR="00A3732C" w:rsidRDefault="00A3732C">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categories in the columns headed "KPI Category"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w:t>
            </w:r>
            <w:r>
              <w:rPr>
                <w:rFonts w:ascii="Arial" w:eastAsia="Arial" w:hAnsi="Arial" w:cs="Arial"/>
                <w:color w:val="000000"/>
                <w:sz w:val="24"/>
                <w:szCs w:val="24"/>
              </w:rPr>
              <w:t>;</w:t>
            </w:r>
          </w:p>
        </w:tc>
      </w:tr>
      <w:tr w:rsidR="00A3732C">
        <w:tc>
          <w:tcPr>
            <w:tcW w:w="2410" w:type="dxa"/>
            <w:shd w:val="clear" w:color="auto" w:fill="auto"/>
          </w:tcPr>
          <w:p w:rsidR="00A3732C" w:rsidRDefault="00E0325C">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“KPI Category 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Category in respect of a Service Period, the amount calculated in accordance with Paragraph 3.2 of Part A of this Schedule;</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"KPI At Risk Amount"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w:t>
            </w:r>
            <w:r>
              <w:rPr>
                <w:rFonts w:ascii="Arial" w:eastAsia="Arial" w:hAnsi="Arial" w:cs="Arial"/>
                <w:sz w:val="24"/>
                <w:szCs w:val="24"/>
              </w:rPr>
              <w:t>in relation</w:t>
            </w:r>
            <w:r>
              <w:rPr>
                <w:rFonts w:ascii="Arial" w:eastAsia="Arial" w:hAnsi="Arial" w:cs="Arial"/>
                <w:color w:val="000000"/>
                <w:sz w:val="24"/>
                <w:szCs w:val="24"/>
              </w:rPr>
              <w:t xml:space="preserve"> to </w:t>
            </w:r>
            <w:r>
              <w:rPr>
                <w:rFonts w:ascii="Arial" w:eastAsia="Arial" w:hAnsi="Arial" w:cs="Arial"/>
                <w:sz w:val="24"/>
                <w:szCs w:val="24"/>
              </w:rPr>
              <w:t>a KPI</w:t>
            </w:r>
            <w:r>
              <w:rPr>
                <w:rFonts w:ascii="Arial" w:eastAsia="Arial" w:hAnsi="Arial" w:cs="Arial"/>
                <w:color w:val="000000"/>
                <w:sz w:val="24"/>
                <w:szCs w:val="24"/>
              </w:rPr>
              <w:t xml:space="preserve"> in respect of a Service </w:t>
            </w:r>
            <w:r>
              <w:rPr>
                <w:rFonts w:ascii="Arial" w:eastAsia="Arial" w:hAnsi="Arial" w:cs="Arial"/>
                <w:sz w:val="24"/>
                <w:szCs w:val="24"/>
              </w:rPr>
              <w:t>Period, the amoun</w:t>
            </w:r>
            <w:r>
              <w:rPr>
                <w:rFonts w:ascii="Arial" w:eastAsia="Arial" w:hAnsi="Arial" w:cs="Arial"/>
                <w:sz w:val="24"/>
                <w:szCs w:val="24"/>
              </w:rPr>
              <w:t xml:space="preserve">t calculated in accordance with Paragraph 3.3 of Part A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Failure"</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"KPI Performance Measure"</w:t>
            </w:r>
          </w:p>
          <w:p w:rsidR="00A3732C" w:rsidRDefault="00A3732C">
            <w:pPr>
              <w:rPr>
                <w:rFonts w:ascii="Arial" w:eastAsia="Arial" w:hAnsi="Arial" w:cs="Arial"/>
                <w:sz w:val="24"/>
                <w:szCs w:val="24"/>
              </w:rPr>
            </w:pP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each of the Performance Measures in the columns headed Measure Requirement and Measure Achievement Calculation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Monitoring Reports"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w:t>
            </w:r>
            <w:r>
              <w:rPr>
                <w:rFonts w:ascii="Arial" w:eastAsia="Arial" w:hAnsi="Arial" w:cs="Arial"/>
                <w:b/>
                <w:color w:val="000000"/>
                <w:sz w:val="24"/>
                <w:szCs w:val="24"/>
              </w:rPr>
              <w:t>erformance Review Meetings"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the Supplier's actual performance against the KPIs falls to or below the standard to which Paragraph 6 of Part A of this Schedule refers; and</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to Part A of this Schedule being payable by the Supplier to the Buyer in respect of any failure by the Supplier to meet one or more KPIs;</w:t>
            </w:r>
          </w:p>
        </w:tc>
      </w:tr>
      <w:tr w:rsidR="00A3732C">
        <w:tc>
          <w:tcPr>
            <w:tcW w:w="2410" w:type="dxa"/>
            <w:shd w:val="clear" w:color="auto" w:fill="auto"/>
          </w:tcPr>
          <w:p w:rsidR="00A3732C" w:rsidRDefault="00E0325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"Ratchet"</w:t>
            </w:r>
          </w:p>
        </w:tc>
        <w:tc>
          <w:tcPr>
            <w:tcW w:w="5953" w:type="dxa"/>
            <w:shd w:val="clear" w:color="auto" w:fill="auto"/>
          </w:tcPr>
          <w:p w:rsidR="00A3732C" w:rsidRDefault="00E0325C">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have the meaning in Part A of this Schedule.</w:t>
            </w:r>
          </w:p>
        </w:tc>
      </w:tr>
    </w:tbl>
    <w:p w:rsidR="00A3732C" w:rsidRDefault="00A3732C">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KPIs</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 for each KPI.</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Failure shall entitle the Buyer to the rights set out in Par</w:t>
      </w:r>
      <w:r>
        <w:rPr>
          <w:rFonts w:ascii="Arial" w:eastAsia="Arial" w:hAnsi="Arial" w:cs="Arial"/>
          <w:color w:val="000000"/>
          <w:sz w:val="24"/>
          <w:szCs w:val="24"/>
        </w:rPr>
        <w:t>t A of this Schedule including the right to any KPI Credits and that any KPI Credit is a price adjustment and not an estimate of the Loss that may be suffered by the Buyer as a result of the Supplier’s failure to meet any KPI Performance Measure.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w:t>
      </w:r>
      <w:r>
        <w:rPr>
          <w:rFonts w:ascii="Arial" w:eastAsia="Arial" w:hAnsi="Arial" w:cs="Arial"/>
          <w:color w:val="000000"/>
          <w:sz w:val="24"/>
          <w:szCs w:val="24"/>
        </w:rPr>
        <w:t>al remedy for a KPI Failure except where:</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Failure:</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A3732C" w:rsidRDefault="00E0325C">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results in the Buyer being required to make a compensation payment to one or more third parties; and/or</w:t>
      </w:r>
    </w:p>
    <w:p w:rsidR="00A3732C" w:rsidRDefault="00E0325C">
      <w:pPr>
        <w:numPr>
          <w:ilvl w:val="2"/>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Failure occurs and/or the Buyer is otherwise entitled to or does terminate this Contract pursuant to Clause 10.4 of the Core Terms (Whe</w:t>
      </w:r>
      <w:r>
        <w:rPr>
          <w:rFonts w:ascii="Arial" w:eastAsia="Arial" w:hAnsi="Arial" w:cs="Arial"/>
          <w:sz w:val="24"/>
          <w:szCs w:val="24"/>
        </w:rPr>
        <w:t>n CCS or the buyer can end a contract).</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KPI Performance Measure in respect of one or more KPIs and the Supplier shall not be entitled to object to, or increa</w:t>
      </w:r>
      <w:r>
        <w:rPr>
          <w:rFonts w:ascii="Arial" w:eastAsia="Arial" w:hAnsi="Arial" w:cs="Arial"/>
          <w:color w:val="000000"/>
          <w:sz w:val="24"/>
          <w:szCs w:val="24"/>
        </w:rPr>
        <w:t>se the Charges as a result of such changes, provided that:</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KPIs for which the weighting is to be changed does not exceed the number applicable as at the Start Date; </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w:t>
      </w:r>
      <w:r>
        <w:rPr>
          <w:rFonts w:ascii="Arial" w:eastAsia="Arial" w:hAnsi="Arial" w:cs="Arial"/>
          <w:color w:val="000000"/>
          <w:sz w:val="24"/>
          <w:szCs w:val="24"/>
        </w:rPr>
        <w:t>'s business requirements and/or priorities or to reflect changing industry standards; and</w:t>
      </w:r>
    </w:p>
    <w:p w:rsidR="00A3732C" w:rsidRDefault="00E0325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At Risk Amount</w:t>
      </w:r>
    </w:p>
    <w:p w:rsidR="00A3732C" w:rsidRDefault="00E0325C">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A3732C" w:rsidRDefault="00E0325C">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A3732C" w:rsidRDefault="00E0325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w:t>
      </w:r>
      <w:r>
        <w:rPr>
          <w:rFonts w:ascii="Arial" w:eastAsia="Arial" w:hAnsi="Arial" w:cs="Arial"/>
          <w:color w:val="000000"/>
          <w:sz w:val="24"/>
          <w:szCs w:val="24"/>
        </w:rPr>
        <w:t>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A3732C" w:rsidRDefault="00E0325C">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w:t>
      </w:r>
      <w:r>
        <w:rPr>
          <w:rFonts w:ascii="Arial" w:eastAsia="Arial" w:hAnsi="Arial" w:cs="Arial"/>
          <w:color w:val="000000"/>
          <w:sz w:val="24"/>
          <w:szCs w:val="24"/>
        </w:rPr>
        <w:t>im damages from the Supplier for material Default.</w:t>
      </w:r>
    </w:p>
    <w:p w:rsidR="00A3732C" w:rsidRDefault="00A3732C">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A3732C" w:rsidRDefault="00E0325C">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KPIs and KPI Credits </w:t>
      </w:r>
    </w:p>
    <w:p w:rsidR="00A3732C" w:rsidRDefault="00E0325C">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A3732C" w:rsidRDefault="00E0325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Service Failure to occur, </w:t>
      </w:r>
    </w:p>
    <w:p w:rsidR="00A3732C" w:rsidRDefault="00E0325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lastRenderedPageBreak/>
        <w:t>the Supplier shall immediately notify the Buyer in writing and the Buyer, in its absolute discretion and without limiting any other of its rights, may:</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w:t>
      </w:r>
      <w:r>
        <w:rPr>
          <w:rFonts w:ascii="Arial" w:eastAsia="Arial" w:hAnsi="Arial" w:cs="Arial"/>
          <w:color w:val="000000"/>
          <w:sz w:val="24"/>
          <w:szCs w:val="24"/>
        </w:rPr>
        <w:t xml:space="preserve"> take all preventative and/or remedial action that is reasonable to mitigate the impact on the Buyer and to rectify or prevent a KPI Failure or Persistent KPI Failure from taking place or recurring; </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instruct the Supplier to comply with the Rectification P</w:t>
      </w:r>
      <w:r>
        <w:rPr>
          <w:rFonts w:ascii="Arial" w:eastAsia="Arial" w:hAnsi="Arial" w:cs="Arial"/>
          <w:color w:val="000000"/>
          <w:sz w:val="24"/>
          <w:szCs w:val="24"/>
        </w:rPr>
        <w:t xml:space="preserve">lan Process; </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Failure has occurred, deduct the applicable KPI Credits payable by the Supplier to the Buyer; and/or</w:t>
      </w:r>
    </w:p>
    <w:p w:rsidR="00A3732C" w:rsidRDefault="00E0325C">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Failure (including the right to term</w:t>
      </w:r>
      <w:r>
        <w:rPr>
          <w:rFonts w:ascii="Arial" w:eastAsia="Arial" w:hAnsi="Arial" w:cs="Arial"/>
          <w:color w:val="000000"/>
          <w:sz w:val="24"/>
          <w:szCs w:val="24"/>
        </w:rPr>
        <w:t>inate for material Default).</w:t>
      </w:r>
    </w:p>
    <w:p w:rsidR="00A3732C" w:rsidRDefault="00E0325C">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A3732C" w:rsidRDefault="00E0325C">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off set</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below</w:t>
      </w:r>
      <w:r>
        <w:rPr>
          <w:rFonts w:ascii="Arial" w:eastAsia="Arial" w:hAnsi="Arial" w:cs="Arial"/>
          <w:sz w:val="24"/>
          <w:szCs w:val="24"/>
        </w:rPr>
        <w:t xml:space="preserve">. </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w:t>
      </w:r>
      <w:r>
        <w:rPr>
          <w:rFonts w:ascii="Arial" w:eastAsia="Arial" w:hAnsi="Arial" w:cs="Arial"/>
          <w:b/>
          <w:color w:val="000000"/>
          <w:sz w:val="24"/>
          <w:szCs w:val="24"/>
        </w:rPr>
        <w:t>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At Risk Amount shall be calculated in accordance with Section 2 - Calculation of Monthly At Risk Amount, of the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Calc Overview tab of the </w:t>
      </w:r>
      <w:r>
        <w:rPr>
          <w:rFonts w:ascii="Arial" w:eastAsia="Arial" w:hAnsi="Arial" w:cs="Arial"/>
          <w:color w:val="222222"/>
          <w:sz w:val="24"/>
          <w:szCs w:val="24"/>
          <w:highlight w:val="white"/>
        </w:rPr>
        <w:t xml:space="preserve">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Category At Risk Amount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Category At Risk Amount shall be calculated as follows: for each KPI Category, the At Risk Amount shall be apportioned to it in accordance with the KPI Category Weightings in the column headed KPI Weighting in the KPI Table 2 of the KPI Measures ta</w:t>
      </w:r>
      <w:r>
        <w:rPr>
          <w:rFonts w:ascii="Arial" w:eastAsia="Arial" w:hAnsi="Arial" w:cs="Arial"/>
          <w:color w:val="000000"/>
          <w:sz w:val="24"/>
          <w:szCs w:val="24"/>
        </w:rPr>
        <w:t xml:space="preserve">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At Risk Amount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At Risk Amount shall be calculated as follows: the KPI Category At Risk Amount that applies to the KPI Category in which the relevant KPI resides, shall be further apportioned in accordance with the K</w:t>
      </w:r>
      <w:r>
        <w:rPr>
          <w:rFonts w:ascii="Arial" w:eastAsia="Arial" w:hAnsi="Arial" w:cs="Arial"/>
          <w:color w:val="000000"/>
          <w:sz w:val="24"/>
          <w:szCs w:val="24"/>
        </w:rPr>
        <w:t xml:space="preserve">PI Measure Weightings in the column headed </w:t>
      </w:r>
      <w:r>
        <w:rPr>
          <w:rFonts w:ascii="Arial" w:eastAsia="Arial" w:hAnsi="Arial" w:cs="Arial"/>
          <w:color w:val="222222"/>
          <w:sz w:val="24"/>
          <w:szCs w:val="24"/>
          <w:highlight w:val="white"/>
        </w:rPr>
        <w:t xml:space="preserve">Measure Weighting in Table 3. Measures of the KPI Measures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KPI Credit </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KPI Credit to be applied to a KPI in a Service Period for a KPI Failure shall be calculated in accordance wi</w:t>
      </w:r>
      <w:r>
        <w:rPr>
          <w:rFonts w:ascii="Arial" w:eastAsia="Arial" w:hAnsi="Arial" w:cs="Arial"/>
          <w:color w:val="000000"/>
          <w:sz w:val="24"/>
          <w:szCs w:val="24"/>
        </w:rPr>
        <w:t xml:space="preserve">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rsidR="00A3732C" w:rsidRDefault="00E0325C">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percentage, calculated using the Scoring Scales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achieved by the Supplier against the KPI Performance Measure in that Service Period; and </w:t>
      </w:r>
    </w:p>
    <w:p w:rsidR="00A3732C" w:rsidRDefault="00E0325C">
      <w:pPr>
        <w:numPr>
          <w:ilvl w:val="3"/>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multiplying the resultant p</w:t>
      </w:r>
      <w:r>
        <w:rPr>
          <w:rFonts w:ascii="Arial" w:eastAsia="Arial" w:hAnsi="Arial" w:cs="Arial"/>
          <w:color w:val="000000"/>
          <w:sz w:val="24"/>
          <w:szCs w:val="24"/>
        </w:rPr>
        <w:t>ercentage by the KPI At Risk Amount.</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t>KPI Credit Ratchet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 ratchet will apply to the calculation of KPI Credits for frequent and repeated KPI Failures (</w:t>
      </w:r>
      <w:r>
        <w:rPr>
          <w:rFonts w:ascii="Arial" w:eastAsia="Arial" w:hAnsi="Arial" w:cs="Arial"/>
          <w:b/>
          <w:color w:val="000000"/>
          <w:sz w:val="24"/>
          <w:szCs w:val="24"/>
        </w:rPr>
        <w:t>"Ratchet"</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Ratchet will be applied to the calculation of KPI Credits if one or both of the following</w:t>
      </w:r>
      <w:r>
        <w:rPr>
          <w:rFonts w:ascii="Arial" w:eastAsia="Arial" w:hAnsi="Arial" w:cs="Arial"/>
          <w:color w:val="000000"/>
          <w:sz w:val="24"/>
          <w:szCs w:val="24"/>
        </w:rPr>
        <w:t xml:space="preserve"> circumstances occur:</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consecutive Service Periods; and</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KPI Failures occur in relation to any one or more of the KPIs comprised in the same KPI Category in any four (4) or more of the immediately preceding twelve (12) Service Periods.</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value of the Ratchet and when it is to be applied pursuant to Paragraph 4</w:t>
      </w:r>
      <w:r>
        <w:rPr>
          <w:rFonts w:ascii="Arial" w:eastAsia="Arial" w:hAnsi="Arial" w:cs="Arial"/>
          <w:color w:val="000000"/>
          <w:sz w:val="24"/>
          <w:szCs w:val="24"/>
        </w:rPr>
        <w:t xml:space="preserve">.2, </w:t>
      </w:r>
      <w:r>
        <w:rPr>
          <w:rFonts w:ascii="Arial" w:eastAsia="Arial" w:hAnsi="Arial" w:cs="Arial"/>
          <w:color w:val="222222"/>
          <w:sz w:val="24"/>
          <w:szCs w:val="24"/>
          <w:highlight w:val="white"/>
        </w:rPr>
        <w:t xml:space="preserve">is set out in the Perf </w:t>
      </w:r>
      <w:proofErr w:type="spellStart"/>
      <w:r>
        <w:rPr>
          <w:rFonts w:ascii="Arial" w:eastAsia="Arial" w:hAnsi="Arial" w:cs="Arial"/>
          <w:color w:val="222222"/>
          <w:sz w:val="24"/>
          <w:szCs w:val="24"/>
          <w:highlight w:val="white"/>
        </w:rPr>
        <w:t>Ded_Adj</w:t>
      </w:r>
      <w:proofErr w:type="spellEnd"/>
      <w:r>
        <w:rPr>
          <w:rFonts w:ascii="Arial" w:eastAsia="Arial" w:hAnsi="Arial" w:cs="Arial"/>
          <w:color w:val="222222"/>
          <w:sz w:val="24"/>
          <w:szCs w:val="24"/>
          <w:highlight w:val="white"/>
        </w:rPr>
        <w:t xml:space="preserve"> and </w:t>
      </w:r>
      <w:proofErr w:type="spellStart"/>
      <w:r>
        <w:rPr>
          <w:rFonts w:ascii="Arial" w:eastAsia="Arial" w:hAnsi="Arial" w:cs="Arial"/>
          <w:color w:val="222222"/>
          <w:sz w:val="24"/>
          <w:szCs w:val="24"/>
          <w:highlight w:val="white"/>
        </w:rPr>
        <w:t>Earnback</w:t>
      </w:r>
      <w:proofErr w:type="spellEnd"/>
      <w:r>
        <w:rPr>
          <w:rFonts w:ascii="Arial" w:eastAsia="Arial" w:hAnsi="Arial" w:cs="Arial"/>
          <w:color w:val="222222"/>
          <w:sz w:val="24"/>
          <w:szCs w:val="24"/>
          <w:highlight w:val="white"/>
        </w:rPr>
        <w:t xml:space="preserve"> Calc tab of the KPI </w:t>
      </w:r>
      <w:proofErr w:type="spellStart"/>
      <w:r>
        <w:rPr>
          <w:rFonts w:ascii="Arial" w:eastAsia="Arial" w:hAnsi="Arial" w:cs="Arial"/>
          <w:color w:val="222222"/>
          <w:sz w:val="24"/>
          <w:szCs w:val="24"/>
          <w:highlight w:val="white"/>
        </w:rPr>
        <w:t>Paymech</w:t>
      </w:r>
      <w:proofErr w:type="spellEnd"/>
      <w:r>
        <w:rPr>
          <w:rFonts w:ascii="Arial" w:eastAsia="Arial" w:hAnsi="Arial" w:cs="Arial"/>
          <w:color w:val="222222"/>
          <w:sz w:val="24"/>
          <w:szCs w:val="24"/>
          <w:highlight w:val="white"/>
        </w:rPr>
        <w:t xml:space="preserve"> Model</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When the Ratchet is to be applied, the relevant KPI Credit shall be the number of KPI Credits that would normally accrue for an initial KPI Failure multiplied by the value o</w:t>
      </w:r>
      <w:r>
        <w:rPr>
          <w:rFonts w:ascii="Arial" w:eastAsia="Arial" w:hAnsi="Arial" w:cs="Arial"/>
          <w:color w:val="000000"/>
          <w:sz w:val="24"/>
          <w:szCs w:val="24"/>
        </w:rPr>
        <w:t>f the Ratchet, for example:</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two (2) consecutive Service Periods, the KPI Credits for each of the KPI Failures in the second of such Service Periods will be 1.5</w:t>
      </w:r>
      <w:r>
        <w:rPr>
          <w:rFonts w:ascii="Arial" w:eastAsia="Arial" w:hAnsi="Arial" w:cs="Arial"/>
          <w:color w:val="000000"/>
          <w:sz w:val="24"/>
          <w:szCs w:val="24"/>
        </w:rPr>
        <w:t xml:space="preserve"> times the KPI Credit that would have been applicable to them for an initial KPI Failure (refer to table 1 in 4.4.3); and</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a KPI Failure in respect of any one or more KPIs comprised in the same KPI Category occurs in any four (4) Service Periods in the i</w:t>
      </w:r>
      <w:r>
        <w:rPr>
          <w:rFonts w:ascii="Arial" w:eastAsia="Arial" w:hAnsi="Arial" w:cs="Arial"/>
          <w:color w:val="000000"/>
          <w:sz w:val="24"/>
          <w:szCs w:val="24"/>
        </w:rPr>
        <w:t>mmediately preceding twelve (12) Service Periods, the KPI Credits for each of the KPI Failures in that fourth Service Period will be 1.75 times the KPI Credit that would have been applicable to them for an initial KPI Failure (refer to table 1 in 4.4.3).</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I</w:t>
      </w:r>
      <w:r>
        <w:rPr>
          <w:rFonts w:ascii="Arial" w:eastAsia="Arial" w:hAnsi="Arial" w:cs="Arial"/>
          <w:color w:val="000000"/>
        </w:rPr>
        <w:t>llustration of Ratchets to be applied in table form;</w:t>
      </w:r>
    </w:p>
    <w:tbl>
      <w:tblPr>
        <w:tblStyle w:val="afff1"/>
        <w:tblW w:w="7653" w:type="dxa"/>
        <w:tblInd w:w="1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gridCol w:w="1843"/>
        <w:gridCol w:w="1842"/>
        <w:gridCol w:w="2268"/>
      </w:tblGrid>
      <w:tr w:rsidR="00A3732C">
        <w:trPr>
          <w:trHeight w:val="840"/>
        </w:trPr>
        <w:tc>
          <w:tcPr>
            <w:tcW w:w="1700" w:type="dxa"/>
            <w:tcBorders>
              <w:top w:val="single" w:sz="8" w:space="0" w:color="000000"/>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b/>
                <w:color w:val="000000"/>
              </w:rPr>
            </w:pPr>
            <w:r>
              <w:rPr>
                <w:rFonts w:ascii="Arial" w:eastAsia="Arial" w:hAnsi="Arial" w:cs="Arial"/>
                <w:b/>
                <w:color w:val="000000"/>
              </w:rPr>
              <w:lastRenderedPageBreak/>
              <w:t>Table 1: RATCHET OPTIONS</w:t>
            </w:r>
          </w:p>
        </w:tc>
        <w:tc>
          <w:tcPr>
            <w:tcW w:w="1843" w:type="dxa"/>
            <w:tcBorders>
              <w:top w:val="single" w:sz="8"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Ratchet Value</w:t>
            </w:r>
          </w:p>
        </w:tc>
        <w:tc>
          <w:tcPr>
            <w:tcW w:w="1842" w:type="dxa"/>
            <w:tcBorders>
              <w:top w:val="single" w:sz="8"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Consecutive Failure</w:t>
            </w:r>
          </w:p>
        </w:tc>
        <w:tc>
          <w:tcPr>
            <w:tcW w:w="2268" w:type="dxa"/>
            <w:tcBorders>
              <w:top w:val="single" w:sz="8"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b/>
                <w:color w:val="000000"/>
              </w:rPr>
            </w:pPr>
            <w:r>
              <w:rPr>
                <w:rFonts w:ascii="Arial" w:eastAsia="Arial" w:hAnsi="Arial" w:cs="Arial"/>
                <w:b/>
                <w:color w:val="000000"/>
              </w:rPr>
              <w:t>Failure over a 12 Month Rolling Period</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Default</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 </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 </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1</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2</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3</w:t>
            </w:r>
          </w:p>
        </w:tc>
      </w:tr>
      <w:tr w:rsidR="00A3732C">
        <w:trPr>
          <w:trHeight w:val="255"/>
        </w:trPr>
        <w:tc>
          <w:tcPr>
            <w:tcW w:w="1700" w:type="dxa"/>
            <w:tcBorders>
              <w:top w:val="nil"/>
              <w:left w:val="single" w:sz="8" w:space="0" w:color="000000"/>
              <w:bottom w:val="single" w:sz="4"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2</w:t>
            </w:r>
          </w:p>
        </w:tc>
        <w:tc>
          <w:tcPr>
            <w:tcW w:w="1843" w:type="dxa"/>
            <w:tcBorders>
              <w:top w:val="nil"/>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1.75</w:t>
            </w:r>
          </w:p>
        </w:tc>
        <w:tc>
          <w:tcPr>
            <w:tcW w:w="1842" w:type="dxa"/>
            <w:tcBorders>
              <w:top w:val="single" w:sz="4" w:space="0" w:color="000000"/>
              <w:left w:val="nil"/>
              <w:bottom w:val="single" w:sz="4"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3</w:t>
            </w:r>
          </w:p>
        </w:tc>
        <w:tc>
          <w:tcPr>
            <w:tcW w:w="2268" w:type="dxa"/>
            <w:tcBorders>
              <w:top w:val="single" w:sz="4" w:space="0" w:color="000000"/>
              <w:left w:val="nil"/>
              <w:bottom w:val="single" w:sz="4"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4,5</w:t>
            </w:r>
          </w:p>
        </w:tc>
      </w:tr>
      <w:tr w:rsidR="00A3732C">
        <w:trPr>
          <w:trHeight w:val="270"/>
        </w:trPr>
        <w:tc>
          <w:tcPr>
            <w:tcW w:w="1700" w:type="dxa"/>
            <w:tcBorders>
              <w:top w:val="nil"/>
              <w:left w:val="single" w:sz="8" w:space="0" w:color="000000"/>
              <w:bottom w:val="single" w:sz="8" w:space="0" w:color="000000"/>
              <w:right w:val="single" w:sz="4" w:space="0" w:color="000000"/>
            </w:tcBorders>
            <w:shd w:val="clear" w:color="auto" w:fill="auto"/>
            <w:vAlign w:val="center"/>
          </w:tcPr>
          <w:p w:rsidR="00A3732C" w:rsidRDefault="00E0325C">
            <w:pPr>
              <w:rPr>
                <w:rFonts w:ascii="Arial" w:eastAsia="Arial" w:hAnsi="Arial" w:cs="Arial"/>
                <w:color w:val="000000"/>
              </w:rPr>
            </w:pPr>
            <w:r>
              <w:rPr>
                <w:rFonts w:ascii="Arial" w:eastAsia="Arial" w:hAnsi="Arial" w:cs="Arial"/>
                <w:color w:val="000000"/>
              </w:rPr>
              <w:t>Ratchet 3</w:t>
            </w:r>
          </w:p>
        </w:tc>
        <w:tc>
          <w:tcPr>
            <w:tcW w:w="1843" w:type="dxa"/>
            <w:tcBorders>
              <w:top w:val="nil"/>
              <w:left w:val="nil"/>
              <w:bottom w:val="single" w:sz="8"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2</w:t>
            </w:r>
          </w:p>
        </w:tc>
        <w:tc>
          <w:tcPr>
            <w:tcW w:w="1842" w:type="dxa"/>
            <w:tcBorders>
              <w:top w:val="single" w:sz="4" w:space="0" w:color="000000"/>
              <w:left w:val="nil"/>
              <w:bottom w:val="single" w:sz="8" w:space="0" w:color="000000"/>
              <w:right w:val="single" w:sz="4"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4</w:t>
            </w:r>
          </w:p>
        </w:tc>
        <w:tc>
          <w:tcPr>
            <w:tcW w:w="2268" w:type="dxa"/>
            <w:tcBorders>
              <w:top w:val="single" w:sz="4" w:space="0" w:color="000000"/>
              <w:left w:val="nil"/>
              <w:bottom w:val="single" w:sz="8" w:space="0" w:color="000000"/>
              <w:right w:val="single" w:sz="8" w:space="0" w:color="000000"/>
            </w:tcBorders>
            <w:shd w:val="clear" w:color="auto" w:fill="auto"/>
            <w:vAlign w:val="center"/>
          </w:tcPr>
          <w:p w:rsidR="00A3732C" w:rsidRDefault="00E0325C">
            <w:pPr>
              <w:jc w:val="center"/>
              <w:rPr>
                <w:rFonts w:ascii="Arial" w:eastAsia="Arial" w:hAnsi="Arial" w:cs="Arial"/>
                <w:color w:val="000000"/>
              </w:rPr>
            </w:pPr>
            <w:r>
              <w:rPr>
                <w:rFonts w:ascii="Arial" w:eastAsia="Arial" w:hAnsi="Arial" w:cs="Arial"/>
                <w:color w:val="000000"/>
              </w:rPr>
              <w:t>6,7,8,9,10,11,12</w:t>
            </w:r>
          </w:p>
        </w:tc>
      </w:tr>
    </w:tbl>
    <w:p w:rsidR="00A3732C" w:rsidRDefault="00A3732C">
      <w:pPr>
        <w:pBdr>
          <w:top w:val="nil"/>
          <w:left w:val="nil"/>
          <w:bottom w:val="nil"/>
          <w:right w:val="nil"/>
          <w:between w:val="nil"/>
        </w:pBdr>
        <w:tabs>
          <w:tab w:val="left" w:pos="144"/>
        </w:tabs>
        <w:spacing w:after="120" w:line="240" w:lineRule="auto"/>
        <w:ind w:left="2160" w:hanging="720"/>
        <w:jc w:val="both"/>
        <w:rPr>
          <w:rFonts w:ascii="Arial" w:eastAsia="Arial" w:hAnsi="Arial" w:cs="Arial"/>
          <w:b/>
          <w:color w:val="000000"/>
          <w:sz w:val="24"/>
          <w:szCs w:val="24"/>
        </w:rPr>
      </w:pP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If more than one Ratchet applies to a KPI Failure in the same Service Period, the Ratchet resulting in the higher KPI Credit will be used.</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Category; and</w:t>
      </w:r>
    </w:p>
    <w:p w:rsidR="00A3732C" w:rsidRDefault="00E0325C">
      <w:pPr>
        <w:numPr>
          <w:ilvl w:val="2"/>
          <w:numId w:val="3"/>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Category that was the subject of such KPI Credits in the previous Service Period,</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such KPI Cred</w:t>
      </w:r>
      <w:r>
        <w:rPr>
          <w:rFonts w:ascii="Arial" w:eastAsia="Arial" w:hAnsi="Arial" w:cs="Arial"/>
          <w:color w:val="000000"/>
          <w:sz w:val="24"/>
          <w:szCs w:val="24"/>
        </w:rPr>
        <w:t>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Category and the Earn </w:t>
      </w:r>
      <w:r>
        <w:rPr>
          <w:rFonts w:ascii="Arial" w:eastAsia="Arial" w:hAnsi="Arial" w:cs="Arial"/>
          <w:sz w:val="24"/>
          <w:szCs w:val="24"/>
        </w:rPr>
        <w:t>B</w:t>
      </w:r>
      <w:r>
        <w:rPr>
          <w:rFonts w:ascii="Arial" w:eastAsia="Arial" w:hAnsi="Arial" w:cs="Arial"/>
          <w:color w:val="000000"/>
          <w:sz w:val="24"/>
          <w:szCs w:val="24"/>
        </w:rPr>
        <w:t>ack %.</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w:t>
      </w:r>
      <w:r>
        <w:rPr>
          <w:rFonts w:ascii="Arial" w:eastAsia="Arial" w:hAnsi="Arial" w:cs="Arial"/>
          <w:color w:val="000000"/>
          <w:sz w:val="24"/>
          <w:szCs w:val="24"/>
        </w:rPr>
        <w:t>itled under this Paragraph 5 in accordance with Call-Off Schedule 5 (Call-Off Pricing).</w:t>
      </w:r>
    </w:p>
    <w:p w:rsidR="00A3732C" w:rsidRDefault="00E0325C">
      <w:pPr>
        <w:numPr>
          <w:ilvl w:val="0"/>
          <w:numId w:val="3"/>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arise when one or both of the following takes place:</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Failure in respect of any one or more of the KPIs comprised in the same KPI Category occurs in five (5) consecutive Service Periods;</w:t>
      </w:r>
    </w:p>
    <w:p w:rsidR="00A3732C" w:rsidRDefault="00E0325C">
      <w:pPr>
        <w:numPr>
          <w:ilvl w:val="2"/>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Failure in respect of any one or more of the KPIs comprised in the same KPI Category occurs in any seven (7) Se</w:t>
      </w:r>
      <w:r>
        <w:rPr>
          <w:rFonts w:ascii="Arial" w:eastAsia="Arial" w:hAnsi="Arial" w:cs="Arial"/>
          <w:color w:val="000000"/>
          <w:sz w:val="24"/>
          <w:szCs w:val="24"/>
        </w:rPr>
        <w:t>rvice Periods in the immediately preceding twelve (12) Service Periods.</w:t>
      </w:r>
    </w:p>
    <w:p w:rsidR="00A3732C" w:rsidRDefault="00E0325C">
      <w:pPr>
        <w:numPr>
          <w:ilvl w:val="1"/>
          <w:numId w:val="3"/>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Failure shall constitute a material Default of this Contract by the Supplier.</w:t>
      </w: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p>
    <w:p w:rsidR="00A3732C" w:rsidRDefault="00A3732C">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Annex A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t xml:space="preserve">     </w:t>
      </w:r>
    </w:p>
    <w:p w:rsidR="00A3732C" w:rsidRDefault="00A3732C">
      <w:pPr>
        <w:pBdr>
          <w:top w:val="nil"/>
          <w:left w:val="nil"/>
          <w:bottom w:val="nil"/>
          <w:right w:val="nil"/>
          <w:between w:val="nil"/>
        </w:pBdr>
        <w:spacing w:before="120" w:after="120" w:line="240" w:lineRule="auto"/>
        <w:rPr>
          <w:rFonts w:ascii="Arial" w:eastAsia="Arial" w:hAnsi="Arial" w:cs="Arial"/>
        </w:rPr>
      </w:pPr>
      <w:bookmarkStart w:id="17" w:name="_heading=h.3dy6vkm" w:colFirst="0" w:colLast="0"/>
      <w:bookmarkEnd w:id="17"/>
    </w:p>
    <w:p w:rsidR="00A3732C" w:rsidRDefault="00E0325C">
      <w:pPr>
        <w:pBdr>
          <w:top w:val="nil"/>
          <w:left w:val="nil"/>
          <w:bottom w:val="nil"/>
          <w:right w:val="nil"/>
          <w:between w:val="nil"/>
        </w:pBdr>
        <w:spacing w:before="120" w:after="120" w:line="240" w:lineRule="auto"/>
        <w:rPr>
          <w:rFonts w:ascii="Arial" w:eastAsia="Arial" w:hAnsi="Arial" w:cs="Arial"/>
        </w:rPr>
      </w:pPr>
      <w:bookmarkStart w:id="18" w:name="_heading=h.4d34og8" w:colFirst="0" w:colLast="0"/>
      <w:bookmarkEnd w:id="18"/>
      <w:r>
        <w:rPr>
          <w:rFonts w:ascii="Arial" w:eastAsia="Arial" w:hAnsi="Arial" w:cs="Arial"/>
        </w:rPr>
        <w:t xml:space="preserve">     </w:t>
      </w:r>
    </w:p>
    <w:bookmarkStart w:id="19" w:name="_heading=h.2jxsxqh" w:colFirst="0" w:colLast="0"/>
    <w:bookmarkEnd w:id="19"/>
    <w:p w:rsidR="00A3732C" w:rsidRDefault="0026708F">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15pt;height:51.45pt" o:ole="">
            <v:imagedata r:id="rId8" o:title=""/>
          </v:shape>
          <o:OLEObject Type="Embed" ProgID="Excel.Sheet.12" ShapeID="_x0000_i1029" DrawAspect="Icon" ObjectID="_1763555038" r:id="rId9"/>
        </w:object>
      </w: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bookmarkStart w:id="20" w:name="_GoBack"/>
      <w:bookmarkEnd w:id="20"/>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A3732C">
      <w:pPr>
        <w:pBdr>
          <w:top w:val="nil"/>
          <w:left w:val="nil"/>
          <w:bottom w:val="nil"/>
          <w:right w:val="nil"/>
          <w:between w:val="nil"/>
        </w:pBdr>
        <w:spacing w:before="120" w:after="120" w:line="240" w:lineRule="auto"/>
        <w:rPr>
          <w:rFonts w:ascii="Arial" w:eastAsia="Arial" w:hAnsi="Arial" w:cs="Arial"/>
        </w:rPr>
      </w:pPr>
    </w:p>
    <w:p w:rsidR="00A3732C" w:rsidRDefault="00E0325C">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rsidR="00A3732C" w:rsidRDefault="00E0325C">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Within twenty (20) Working Days of the Start Date the Supplier shall provide the Buyer with details of how the process in respect of the monitoring and reporting of KPIs will operate between the Parties and the Parties will endeavour to agree such process </w:t>
      </w:r>
      <w:r>
        <w:rPr>
          <w:rFonts w:ascii="Arial" w:eastAsia="Arial" w:hAnsi="Arial" w:cs="Arial"/>
          <w:color w:val="000000"/>
          <w:sz w:val="24"/>
          <w:szCs w:val="24"/>
        </w:rPr>
        <w:t>as soon as reasonably possible.</w:t>
      </w:r>
    </w:p>
    <w:p w:rsidR="00A3732C" w:rsidRDefault="00E0325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performance monitoring reports 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w:t>
      </w:r>
      <w:r>
        <w:rPr>
          <w:rFonts w:ascii="Arial" w:eastAsia="Arial" w:hAnsi="Arial" w:cs="Arial"/>
          <w:color w:val="000000"/>
          <w:sz w:val="24"/>
          <w:szCs w:val="24"/>
        </w:rPr>
        <w:t xml:space="preserve">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the actual performance achieved over the KPI for the relevant Service Period;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a summa</w:t>
      </w:r>
      <w:r>
        <w:rPr>
          <w:rFonts w:ascii="Arial" w:eastAsia="Arial" w:hAnsi="Arial" w:cs="Arial"/>
          <w:color w:val="000000"/>
          <w:sz w:val="24"/>
          <w:szCs w:val="24"/>
        </w:rPr>
        <w:t>ry of all failures to achieve KPIs that occurred during that Service Period;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Persistent KPI Failures;</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Persistent failures, actions taken to resolve the underlying cause and prevent recurrence;</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w:t>
      </w:r>
      <w:r>
        <w:rPr>
          <w:rFonts w:ascii="Arial" w:eastAsia="Arial" w:hAnsi="Arial" w:cs="Arial"/>
          <w:color w:val="000000"/>
          <w:sz w:val="24"/>
          <w:szCs w:val="24"/>
        </w:rPr>
        <w:t xml:space="preserve"> of the relevant Service Period indicating the KPI Failures and KPIs to which the KPI Credits relate; and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A3732C" w:rsidRDefault="00E0325C">
      <w:pPr>
        <w:keepNext/>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w:t>
      </w:r>
      <w:r>
        <w:rPr>
          <w:rFonts w:ascii="Arial" w:eastAsia="Arial" w:hAnsi="Arial" w:cs="Arial"/>
          <w:color w:val="000000"/>
          <w:sz w:val="24"/>
          <w:szCs w:val="24"/>
        </w:rPr>
        <w:t>orts.  The Performance Review Meetings shall:</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A3732C" w:rsidRDefault="00E0325C">
      <w:pPr>
        <w:numPr>
          <w:ilvl w:val="2"/>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w:t>
      </w:r>
      <w:r>
        <w:rPr>
          <w:rFonts w:ascii="Arial" w:eastAsia="Arial" w:hAnsi="Arial" w:cs="Arial"/>
          <w:color w:val="000000"/>
          <w:sz w:val="24"/>
          <w:szCs w:val="24"/>
        </w:rPr>
        <w:t xml:space="preserve">er recipients agreed at the relevant meeting.  </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w:t>
      </w:r>
      <w:r>
        <w:rPr>
          <w:rFonts w:ascii="Arial" w:eastAsia="Arial" w:hAnsi="Arial" w:cs="Arial"/>
          <w:color w:val="000000"/>
          <w:sz w:val="24"/>
          <w:szCs w:val="24"/>
        </w:rPr>
        <w:t>e Buyer such documentation as the Buyer may reasonably require in order to verify the level of the performance by the Supplier and the calculations of the amount of KPI Credits for any specified Service Period.</w:t>
      </w:r>
    </w:p>
    <w:p w:rsidR="00A3732C" w:rsidRDefault="00A3732C">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A3732C" w:rsidRDefault="00E0325C">
      <w:pPr>
        <w:numPr>
          <w:ilvl w:val="0"/>
          <w:numId w:val="2"/>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A3732C" w:rsidRDefault="00E0325C">
      <w:pPr>
        <w:numPr>
          <w:ilvl w:val="1"/>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 Contract.</w:t>
      </w:r>
    </w:p>
    <w:p w:rsidR="00A3732C" w:rsidRDefault="00A3732C">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2" w:name="_heading=h.30j0zll" w:colFirst="0" w:colLast="0"/>
      <w:bookmarkEnd w:id="22"/>
    </w:p>
    <w:sectPr w:rsidR="00A3732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25C" w:rsidRDefault="00E0325C">
      <w:pPr>
        <w:spacing w:after="0" w:line="240" w:lineRule="auto"/>
      </w:pPr>
      <w:r>
        <w:separator/>
      </w:r>
    </w:p>
  </w:endnote>
  <w:endnote w:type="continuationSeparator" w:id="0">
    <w:p w:rsidR="00E0325C" w:rsidRDefault="00E03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A3732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A3732C">
    <w:pPr>
      <w:tabs>
        <w:tab w:val="center" w:pos="4513"/>
        <w:tab w:val="right" w:pos="9026"/>
      </w:tabs>
      <w:spacing w:after="0" w:line="240" w:lineRule="auto"/>
      <w:jc w:val="both"/>
    </w:pP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RM6232</w:t>
    </w:r>
    <w:r>
      <w:t xml:space="preserve">     </w:t>
    </w:r>
  </w:p>
  <w:p w:rsidR="00A3732C" w:rsidRDefault="00E0325C">
    <w:pPr>
      <w:pBdr>
        <w:top w:val="nil"/>
        <w:left w:val="nil"/>
        <w:bottom w:val="nil"/>
        <w:right w:val="nil"/>
        <w:between w:val="nil"/>
      </w:pBdr>
      <w:tabs>
        <w:tab w:val="left" w:pos="3820"/>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F4C2A">
      <w:rPr>
        <w:rFonts w:ascii="Arial" w:eastAsia="Arial" w:hAnsi="Arial" w:cs="Arial"/>
        <w:color w:val="000000"/>
        <w:sz w:val="20"/>
        <w:szCs w:val="20"/>
      </w:rPr>
      <w:fldChar w:fldCharType="separate"/>
    </w:r>
    <w:r w:rsidR="00AF4C2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A3732C">
    <w:pPr>
      <w:tabs>
        <w:tab w:val="center" w:pos="4513"/>
        <w:tab w:val="right" w:pos="9026"/>
      </w:tabs>
      <w:spacing w:after="0" w:line="240" w:lineRule="auto"/>
      <w:jc w:val="both"/>
    </w:pP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3732C" w:rsidRDefault="00E0325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25C" w:rsidRDefault="00E0325C">
      <w:pPr>
        <w:spacing w:after="0" w:line="240" w:lineRule="auto"/>
      </w:pPr>
      <w:r>
        <w:separator/>
      </w:r>
    </w:p>
  </w:footnote>
  <w:footnote w:type="continuationSeparator" w:id="0">
    <w:p w:rsidR="00E0325C" w:rsidRDefault="00E03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A3732C" w:rsidRDefault="00E032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732C" w:rsidRDefault="00A3732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30DEF"/>
    <w:multiLevelType w:val="multilevel"/>
    <w:tmpl w:val="7EC4A612"/>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96A1FDB"/>
    <w:multiLevelType w:val="multilevel"/>
    <w:tmpl w:val="B95A50EC"/>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112537F"/>
    <w:multiLevelType w:val="multilevel"/>
    <w:tmpl w:val="05E43A9C"/>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11112B3"/>
    <w:multiLevelType w:val="multilevel"/>
    <w:tmpl w:val="0F4E9C3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12D2820"/>
    <w:multiLevelType w:val="multilevel"/>
    <w:tmpl w:val="F970F12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32C"/>
    <w:rsid w:val="0026708F"/>
    <w:rsid w:val="00A3732C"/>
    <w:rsid w:val="00AF4C2A"/>
    <w:rsid w:val="00E03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BF057A-778A-4DB9-9FD2-721A647EC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xQnF8h2vGqIErimBVP05XmEpSA==">CgMxLjAyCWguMnM4ZXlvMTIJaC4yZXQ5MnAwMgloLjF0M2g1c2YyCGguZ2pkZ3hzMgloLjFmb2I5dGUyCWguMTdkcDh2dTIJaC4zcmRjcmpuMgloLjI2aW4xcmcyCGgubG54Yno5MgloLjM1bmt1bjIyCWguMWtzdjR1djIJaC40NHNpbmlvMghoLnozMzd5YTIJaC4zajJxcW0zMgloLjF5ODEwdHcyCWguM3pueXNoNzIIaC50eWpjd3QyCWguM2R5NnZrbTIJaC40ZDM0b2c4MgloLjJqeHN4cWgyCWguNGk3b2pocDIJaC4zMGowemxsOAByITFjR2RhdzBvb1B0T3RfNWRNa2FBWXdWWlJNTlpnUlc1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2080</Words>
  <Characters>11861</Characters>
  <Application>Microsoft Office Word</Application>
  <DocSecurity>0</DocSecurity>
  <Lines>98</Lines>
  <Paragraphs>27</Paragraphs>
  <ScaleCrop>false</ScaleCrop>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Williams</cp:lastModifiedBy>
  <cp:revision>3</cp:revision>
  <dcterms:created xsi:type="dcterms:W3CDTF">2023-10-18T10:16:00Z</dcterms:created>
  <dcterms:modified xsi:type="dcterms:W3CDTF">2023-12-08T15:37:00Z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